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782" w14:textId="77777777" w:rsidR="001166B5" w:rsidRPr="00E826D7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E826D7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E826D7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4C0FA174" w14:textId="716D75F8" w:rsidR="00CC6FED" w:rsidRPr="00915353" w:rsidRDefault="00BC369A" w:rsidP="00CC6FED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  <w:t xml:space="preserve"> </w:t>
      </w:r>
      <w:r w:rsidR="002F0290">
        <w:rPr>
          <w:rFonts w:ascii="Verdana" w:hAnsi="Verdana" w:cs="Arial"/>
          <w:b/>
          <w:sz w:val="22"/>
          <w:szCs w:val="24"/>
          <w:lang w:val="en-GB"/>
        </w:rPr>
        <w:t>Spring</w:t>
      </w:r>
      <w:r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>202</w:t>
      </w:r>
      <w:r w:rsidR="00405A34">
        <w:rPr>
          <w:rFonts w:ascii="Verdana" w:hAnsi="Verdana" w:cs="Arial"/>
          <w:b/>
          <w:sz w:val="22"/>
          <w:szCs w:val="24"/>
          <w:lang w:val="en-GB"/>
        </w:rPr>
        <w:t>3</w:t>
      </w:r>
      <w:r w:rsidR="005077CE">
        <w:rPr>
          <w:rFonts w:ascii="Verdana" w:hAnsi="Verdana" w:cs="Arial"/>
          <w:b/>
          <w:sz w:val="22"/>
          <w:szCs w:val="24"/>
          <w:lang w:val="en-GB"/>
        </w:rPr>
        <w:t>-202</w:t>
      </w:r>
      <w:r w:rsidR="00405A34">
        <w:rPr>
          <w:rFonts w:ascii="Verdana" w:hAnsi="Verdana" w:cs="Arial"/>
          <w:b/>
          <w:sz w:val="22"/>
          <w:szCs w:val="24"/>
          <w:lang w:val="en-GB"/>
        </w:rPr>
        <w:t>4</w:t>
      </w:r>
      <w:r w:rsidR="005077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CC6FED">
        <w:rPr>
          <w:rFonts w:ascii="Verdana" w:hAnsi="Verdana" w:cs="Arial"/>
          <w:b/>
          <w:sz w:val="22"/>
          <w:szCs w:val="24"/>
          <w:lang w:val="en-GB"/>
        </w:rPr>
        <w:tab/>
      </w:r>
      <w:r w:rsidR="00CC6FED" w:rsidRPr="00915353">
        <w:rPr>
          <w:rFonts w:ascii="Verdana" w:hAnsi="Verdana" w:cs="Arial"/>
          <w:bCs/>
          <w:color w:val="002060"/>
          <w:sz w:val="22"/>
          <w:szCs w:val="24"/>
          <w:lang w:val="en-US"/>
        </w:rPr>
        <w:t>(</w:t>
      </w:r>
      <w:r w:rsidR="002F0290" w:rsidRPr="00FD1E0A">
        <w:rPr>
          <w:rFonts w:ascii="Verdana" w:hAnsi="Verdana" w:cs="Arial"/>
          <w:bCs/>
          <w:color w:val="002060"/>
          <w:sz w:val="22"/>
          <w:szCs w:val="24"/>
          <w:lang w:val="en-US"/>
        </w:rPr>
        <w:t>01-02-2024 – 30-06-2024</w:t>
      </w:r>
      <w:r w:rsidR="00CC6FED" w:rsidRPr="00915353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30434AD1" w14:textId="0EB1BF94" w:rsidR="00937213" w:rsidRPr="00E826D7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E826D7" w:rsidRPr="00E826D7" w14:paraId="27B72EC5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09A0FB7" w14:textId="77777777" w:rsidR="001903D7" w:rsidRPr="00E826D7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159A683" w14:textId="77777777" w:rsidR="007628D2" w:rsidRPr="00E826D7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55D0EB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23CC5B4" w14:textId="77777777" w:rsidR="001903D7" w:rsidRPr="00E826D7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079477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0A766A5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3989F82F" w14:textId="77777777" w:rsidR="001903D7" w:rsidRPr="00E826D7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b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D02FAE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65FD22B" w14:textId="77777777" w:rsidR="001903D7" w:rsidRPr="00E826D7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0EB7A0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075A0A1D" w14:textId="77777777" w:rsidTr="00280F15">
        <w:tc>
          <w:tcPr>
            <w:tcW w:w="2232" w:type="dxa"/>
            <w:shd w:val="clear" w:color="auto" w:fill="auto"/>
          </w:tcPr>
          <w:p w14:paraId="2119828A" w14:textId="0C4AD12D" w:rsidR="001903D7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6AB19D41" w14:textId="77777777" w:rsidR="001903D7" w:rsidRPr="00E826D7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EABE80" w14:textId="77777777" w:rsidR="00C60042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A9AFFF4" w14:textId="60CA2A66" w:rsidR="001903D7" w:rsidRPr="00E826D7" w:rsidRDefault="00807303" w:rsidP="006A2627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473AE6">
              <w:rPr>
                <w:rFonts w:ascii="Verdana" w:hAnsi="Verdana" w:cs="Arial"/>
                <w:sz w:val="20"/>
                <w:lang w:val="en-GB"/>
              </w:rPr>
              <w:t>3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– 202</w:t>
            </w:r>
            <w:r w:rsidR="00473AE6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E826D7" w:rsidRPr="00E826D7" w14:paraId="70D3824E" w14:textId="77777777" w:rsidTr="00280F15">
        <w:tc>
          <w:tcPr>
            <w:tcW w:w="2232" w:type="dxa"/>
            <w:shd w:val="clear" w:color="auto" w:fill="auto"/>
          </w:tcPr>
          <w:p w14:paraId="24429F2D" w14:textId="77777777" w:rsidR="001903D7" w:rsidRPr="00E826D7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c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AE1545F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E7DE1" w14:textId="77777777" w:rsidR="006C3273" w:rsidRPr="00E826D7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E826D7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6DFF183" w14:textId="77777777" w:rsidR="001903D7" w:rsidRPr="00E826D7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841011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D7133" w:rsidRPr="00E826D7" w14:paraId="6BCCDC8A" w14:textId="77777777" w:rsidTr="00280F15">
        <w:tc>
          <w:tcPr>
            <w:tcW w:w="2232" w:type="dxa"/>
            <w:shd w:val="clear" w:color="auto" w:fill="auto"/>
          </w:tcPr>
          <w:p w14:paraId="7D3AD7F4" w14:textId="77777777" w:rsidR="001903D7" w:rsidRPr="00E826D7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57BA1F4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300E04A" w14:textId="77777777" w:rsidR="00C60042" w:rsidRPr="00E826D7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3A937C5" w14:textId="77777777" w:rsidR="008D1391" w:rsidRPr="00E826D7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CD65F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D357BFE" w14:textId="77777777" w:rsidR="006852C7" w:rsidRPr="00E826D7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77E27B70" w14:textId="77777777" w:rsidR="00BD0C31" w:rsidRPr="00E826D7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E826D7" w:rsidRPr="00E826D7" w14:paraId="39B9E20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6A6726C" w14:textId="77777777" w:rsidR="009B18BB" w:rsidRPr="00E826D7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806116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A19909D" w14:textId="77777777" w:rsidR="009B18BB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CDA82F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64A74B4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B21D16F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6C5874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E826D7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168A3EC6" w14:textId="77777777" w:rsidR="00F13C9B" w:rsidRPr="00E826D7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96E33B" w14:textId="77777777" w:rsidR="00F13C9B" w:rsidRPr="00E826D7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7983C34" w14:textId="77777777" w:rsidR="00F13C9B" w:rsidRPr="00E826D7" w:rsidRDefault="00F13C9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6255972B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616BE0C0" w14:textId="77777777" w:rsidR="003A7498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29A0AE8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AA121FF" w14:textId="77777777" w:rsidR="009B18BB" w:rsidRPr="00E826D7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2A22AED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B18BB" w:rsidRPr="00E826D7" w14:paraId="5678B223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953AFF" w14:textId="77777777" w:rsidR="009B18BB" w:rsidRPr="00E826D7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004EB1A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BC3391" w14:textId="77777777" w:rsidR="009B18BB" w:rsidRPr="00E826D7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 w:rsidRPr="00E826D7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E826D7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E826D7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E826D7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A130376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6F56D49C" w14:textId="77777777" w:rsidR="00B256DE" w:rsidRPr="00E826D7" w:rsidRDefault="00B256DE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fr-BE"/>
        </w:rPr>
      </w:pPr>
    </w:p>
    <w:p w14:paraId="71275416" w14:textId="77777777" w:rsidR="001E13D3" w:rsidRPr="00E826D7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826D7" w:rsidRPr="00E826D7" w14:paraId="33826464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CD1D41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68C2592F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02E45052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0BEA1104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D9B74EA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FE0F0C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E826D7" w:rsidRPr="00E826D7" w14:paraId="5ED536DB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C521ACF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4DB3FCE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2B9C0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0E6CE0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2739228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6BAFEFE" w14:textId="77777777" w:rsidR="00370B17" w:rsidRPr="00E826D7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E826D7" w:rsidRPr="00E826D7" w14:paraId="3CBE112D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34A64E92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B20F6CD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AA9066A" w14:textId="77777777" w:rsidR="00370B17" w:rsidRPr="00E826D7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167F8B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370B17" w:rsidRPr="00E826D7" w14:paraId="36700755" w14:textId="77777777" w:rsidTr="006C44F1">
        <w:tc>
          <w:tcPr>
            <w:tcW w:w="2232" w:type="dxa"/>
            <w:shd w:val="clear" w:color="auto" w:fill="auto"/>
          </w:tcPr>
          <w:p w14:paraId="62A5ACE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8E73E04" w14:textId="5B9B7CCC" w:rsidR="00D75AF3" w:rsidRPr="00D6043C" w:rsidRDefault="00D75AF3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nl-NL"/>
              </w:rPr>
            </w:pPr>
            <w:r w:rsidRPr="00D6043C">
              <w:rPr>
                <w:rFonts w:ascii="Verdana" w:hAnsi="Verdana" w:cs="Arial"/>
                <w:sz w:val="20"/>
                <w:lang w:val="nl-NL"/>
              </w:rPr>
              <w:t xml:space="preserve">Hani </w:t>
            </w:r>
            <w:r w:rsidR="00D6043C" w:rsidRPr="00D6043C">
              <w:rPr>
                <w:rFonts w:ascii="Verdana" w:hAnsi="Verdana" w:cs="Arial"/>
                <w:sz w:val="20"/>
                <w:lang w:val="nl-NL"/>
              </w:rPr>
              <w:t>Al-</w:t>
            </w:r>
            <w:r w:rsidRPr="00D6043C">
              <w:rPr>
                <w:rFonts w:ascii="Verdana" w:hAnsi="Verdana" w:cs="Arial"/>
                <w:sz w:val="20"/>
                <w:lang w:val="nl-NL"/>
              </w:rPr>
              <w:t>Duais</w:t>
            </w:r>
          </w:p>
        </w:tc>
        <w:tc>
          <w:tcPr>
            <w:tcW w:w="2232" w:type="dxa"/>
            <w:shd w:val="clear" w:color="auto" w:fill="auto"/>
          </w:tcPr>
          <w:p w14:paraId="2A42CAF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826D7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826D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F7213D7" w14:textId="39AAE4E3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E826D7">
              <w:rPr>
                <w:rFonts w:ascii="Verdana" w:hAnsi="Verdana" w:cs="Arial"/>
                <w:sz w:val="14"/>
                <w:lang w:val="fr-BE"/>
              </w:rPr>
              <w:t>internationalbusinessschool</w:t>
            </w:r>
            <w:proofErr w:type="spellEnd"/>
            <w:r w:rsidRPr="00E826D7">
              <w:rPr>
                <w:rFonts w:ascii="Verdana" w:hAnsi="Verdana" w:cs="Arial"/>
                <w:sz w:val="14"/>
                <w:lang w:val="fr-BE"/>
              </w:rPr>
              <w:t>@</w:t>
            </w:r>
            <w:r w:rsidRPr="00E826D7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</w:r>
            <w:r w:rsidR="00FD1E0A" w:rsidRPr="00FD1E0A">
              <w:rPr>
                <w:rFonts w:ascii="Verdana" w:hAnsi="Verdana" w:cs="Arial"/>
                <w:sz w:val="16"/>
                <w:lang w:val="fr-BE"/>
              </w:rPr>
              <w:t>+31884698511</w:t>
            </w:r>
          </w:p>
        </w:tc>
      </w:tr>
    </w:tbl>
    <w:p w14:paraId="02D614C2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9E717E3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18C4F42" w14:textId="77777777" w:rsidR="005D5129" w:rsidRPr="00DD7133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 w:rsidRPr="00E826D7">
        <w:rPr>
          <w:rFonts w:ascii="Verdana" w:hAnsi="Verdana" w:cs="Calibri"/>
          <w:b/>
          <w:sz w:val="28"/>
          <w:lang w:val="en-GB"/>
        </w:rPr>
        <w:br w:type="page"/>
      </w:r>
      <w:r w:rsidR="00124689" w:rsidRPr="00DD7133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DD7133">
        <w:rPr>
          <w:rFonts w:ascii="Verdana" w:hAnsi="Verdana" w:cs="Calibri"/>
          <w:b/>
          <w:sz w:val="28"/>
          <w:lang w:val="en-GB"/>
        </w:rPr>
        <w:t>BEFORE THE MOBILITY</w:t>
      </w:r>
    </w:p>
    <w:p w14:paraId="5EC9881E" w14:textId="77777777" w:rsidR="00686D76" w:rsidRPr="00DD7133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7477CB60" w14:textId="4A2BC6AE" w:rsidR="00B256DE" w:rsidRPr="00DD7133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DD7133">
        <w:rPr>
          <w:rFonts w:ascii="Verdana" w:hAnsi="Verdana" w:cs="Calibri"/>
          <w:b/>
          <w:sz w:val="20"/>
          <w:lang w:val="en-GB"/>
        </w:rPr>
        <w:t>I</w:t>
      </w:r>
      <w:r w:rsidR="00B256DE" w:rsidRPr="00DD7133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2F0290">
        <w:rPr>
          <w:rFonts w:ascii="Verdana" w:hAnsi="Verdana" w:cs="Calibri"/>
          <w:b/>
          <w:sz w:val="20"/>
          <w:lang w:val="en-GB"/>
        </w:rPr>
        <w:t>Spring</w:t>
      </w:r>
      <w:r w:rsidR="005B357C" w:rsidRPr="00B16232">
        <w:rPr>
          <w:rFonts w:ascii="Verdana" w:hAnsi="Verdana" w:cs="Calibri"/>
          <w:b/>
          <w:sz w:val="20"/>
          <w:lang w:val="en-GB"/>
        </w:rPr>
        <w:t xml:space="preserve"> 202</w:t>
      </w:r>
      <w:r w:rsidR="00473AE6">
        <w:rPr>
          <w:rFonts w:ascii="Verdana" w:hAnsi="Verdana" w:cs="Calibri"/>
          <w:b/>
          <w:sz w:val="20"/>
          <w:lang w:val="en-GB"/>
        </w:rPr>
        <w:t>3</w:t>
      </w:r>
      <w:r w:rsidR="005B357C" w:rsidRPr="00B16232">
        <w:rPr>
          <w:rFonts w:ascii="Verdana" w:hAnsi="Verdana" w:cs="Calibri"/>
          <w:b/>
          <w:sz w:val="20"/>
          <w:lang w:val="en-GB"/>
        </w:rPr>
        <w:t xml:space="preserve"> - 202</w:t>
      </w:r>
      <w:r w:rsidR="00473AE6">
        <w:rPr>
          <w:rFonts w:ascii="Verdana" w:hAnsi="Verdana" w:cs="Calibri"/>
          <w:b/>
          <w:sz w:val="20"/>
          <w:lang w:val="en-GB"/>
        </w:rPr>
        <w:t>4</w:t>
      </w:r>
    </w:p>
    <w:p w14:paraId="5A3826BE" w14:textId="575B2125" w:rsidR="00B256DE" w:rsidRPr="00DD7133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D7133">
        <w:rPr>
          <w:rFonts w:ascii="Verdana" w:hAnsi="Verdana" w:cs="Calibri"/>
          <w:b/>
          <w:u w:val="single"/>
          <w:lang w:val="en-GB"/>
        </w:rPr>
        <w:t>Student name:</w:t>
      </w:r>
      <w:r w:rsidRPr="00DD7133">
        <w:rPr>
          <w:rFonts w:ascii="Verdana" w:hAnsi="Verdana" w:cs="Calibri"/>
          <w:lang w:val="en-GB"/>
        </w:rPr>
        <w:t>…………</w:t>
      </w:r>
      <w:r w:rsidR="00CB1B8A" w:rsidRPr="00DD7133">
        <w:rPr>
          <w:rFonts w:ascii="Verdana" w:hAnsi="Verdana" w:cs="Calibri"/>
          <w:lang w:val="en-GB"/>
        </w:rPr>
        <w:t>………………………………………</w:t>
      </w:r>
    </w:p>
    <w:p w14:paraId="16207615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FC2A65" w14:textId="622ED0AA" w:rsidR="00CB1B8A" w:rsidRPr="00DD7133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2"/>
          <w:szCs w:val="22"/>
          <w:vertAlign w:val="superscript"/>
          <w:lang w:val="en-US"/>
        </w:rPr>
      </w:pPr>
      <w:r w:rsidRPr="00DD7133">
        <w:rPr>
          <w:rFonts w:ascii="Verdana" w:hAnsi="Verdana" w:cs="Calibri"/>
          <w:b/>
          <w:lang w:val="en-GB"/>
        </w:rPr>
        <w:t>MODULE NAME:</w:t>
      </w:r>
      <w:r w:rsidR="00370B17" w:rsidRPr="00DD7133">
        <w:rPr>
          <w:rFonts w:ascii="Verdana" w:hAnsi="Verdana" w:cs="Calibri"/>
          <w:b/>
          <w:lang w:val="en-GB"/>
        </w:rPr>
        <w:t xml:space="preserve"> </w:t>
      </w:r>
      <w:r w:rsidR="00DC761A" w:rsidRPr="00DD7133">
        <w:rPr>
          <w:rFonts w:ascii="Verdana" w:hAnsi="Verdana" w:cs="Calibri"/>
          <w:b/>
          <w:lang w:val="en-GB"/>
        </w:rPr>
        <w:tab/>
      </w:r>
      <w:r w:rsidR="00953D46" w:rsidRPr="00DD7133">
        <w:rPr>
          <w:rFonts w:ascii="Verdana" w:hAnsi="Verdana" w:cs="Calibri"/>
          <w:b/>
          <w:sz w:val="22"/>
          <w:szCs w:val="22"/>
          <w:lang w:val="en-GB"/>
        </w:rPr>
        <w:t xml:space="preserve">International </w:t>
      </w:r>
      <w:r w:rsidR="006A2627" w:rsidRPr="00DD7133">
        <w:rPr>
          <w:rFonts w:ascii="Verdana" w:hAnsi="Verdana" w:cs="Calibri"/>
          <w:b/>
          <w:sz w:val="22"/>
          <w:szCs w:val="22"/>
          <w:lang w:val="en-GB"/>
        </w:rPr>
        <w:t>Relations</w:t>
      </w:r>
      <w:r w:rsidR="00370B17" w:rsidRPr="00DD7133">
        <w:rPr>
          <w:rFonts w:ascii="Verdana" w:hAnsi="Verdana" w:cs="Calibri"/>
          <w:sz w:val="22"/>
          <w:szCs w:val="22"/>
          <w:vertAlign w:val="superscript"/>
          <w:lang w:val="en-US"/>
        </w:rPr>
        <w:t xml:space="preserve"> a</w:t>
      </w:r>
    </w:p>
    <w:p w14:paraId="3907FE46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756"/>
        <w:gridCol w:w="1117"/>
        <w:gridCol w:w="2012"/>
        <w:gridCol w:w="570"/>
      </w:tblGrid>
      <w:tr w:rsidR="002519AD" w:rsidRPr="0090551F" w14:paraId="47C5D0E6" w14:textId="77777777" w:rsidTr="00765D44">
        <w:trPr>
          <w:gridAfter w:val="1"/>
          <w:wAfter w:w="570" w:type="dxa"/>
          <w:jc w:val="center"/>
        </w:trPr>
        <w:tc>
          <w:tcPr>
            <w:tcW w:w="1413" w:type="dxa"/>
          </w:tcPr>
          <w:p w14:paraId="5BD200A2" w14:textId="2CEB60D4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701" w:type="dxa"/>
            <w:shd w:val="clear" w:color="auto" w:fill="auto"/>
          </w:tcPr>
          <w:p w14:paraId="226F3AFE" w14:textId="77777777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</w:t>
            </w:r>
            <w:r w:rsidRPr="0090551F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56" w:type="dxa"/>
            <w:shd w:val="clear" w:color="auto" w:fill="auto"/>
          </w:tcPr>
          <w:p w14:paraId="2036EA95" w14:textId="77777777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90551F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75D21477" w14:textId="77777777" w:rsidR="002519AD" w:rsidRPr="0090551F" w:rsidRDefault="002519AD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17681E3B" w14:textId="77777777" w:rsidR="002519AD" w:rsidRPr="0090551F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0551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90551F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2519AD" w:rsidRPr="0090551F" w14:paraId="5C61AC19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</w:tcPr>
          <w:p w14:paraId="0AEBE9A4" w14:textId="029A4138" w:rsidR="002519AD" w:rsidRPr="00DE27B2" w:rsidRDefault="00473AE6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 xml:space="preserve">Mandatory </w:t>
            </w:r>
          </w:p>
        </w:tc>
        <w:tc>
          <w:tcPr>
            <w:tcW w:w="1701" w:type="dxa"/>
            <w:shd w:val="clear" w:color="auto" w:fill="auto"/>
          </w:tcPr>
          <w:p w14:paraId="176EE324" w14:textId="6750C8E4" w:rsidR="002519AD" w:rsidRPr="00DE27B2" w:rsidRDefault="007A2E30" w:rsidP="00213A84">
            <w:pPr>
              <w:spacing w:before="24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BDKmIR.PRJ1.01</w:t>
            </w:r>
          </w:p>
        </w:tc>
        <w:tc>
          <w:tcPr>
            <w:tcW w:w="2756" w:type="dxa"/>
            <w:shd w:val="clear" w:color="auto" w:fill="auto"/>
          </w:tcPr>
          <w:p w14:paraId="140C9627" w14:textId="632A69E9" w:rsidR="002519AD" w:rsidRPr="00DE27B2" w:rsidRDefault="0090551F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  <w:r w:rsidR="002519AD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IR </w:t>
            </w:r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Project 1: </w:t>
            </w:r>
            <w:proofErr w:type="spellStart"/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European</w:t>
            </w:r>
            <w:proofErr w:type="spellEnd"/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="005A23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Affairs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14:paraId="41E900E1" w14:textId="083AC465" w:rsidR="004767B1" w:rsidRPr="00DE27B2" w:rsidRDefault="002F029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4767B1" w:rsidRPr="00DE27B2">
              <w:rPr>
                <w:rFonts w:ascii="Verdana" w:hAnsi="Verdana" w:cs="Calibri"/>
                <w:sz w:val="16"/>
                <w:szCs w:val="16"/>
                <w:lang w:val="en-US"/>
              </w:rPr>
              <w:br/>
            </w:r>
          </w:p>
        </w:tc>
        <w:tc>
          <w:tcPr>
            <w:tcW w:w="2012" w:type="dxa"/>
            <w:shd w:val="clear" w:color="auto" w:fill="auto"/>
          </w:tcPr>
          <w:p w14:paraId="22D37FBF" w14:textId="1E75ED71" w:rsidR="002519AD" w:rsidRPr="00DE27B2" w:rsidRDefault="00576BB4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5BE030CB" w14:textId="77777777" w:rsidTr="00765D44">
        <w:trPr>
          <w:gridAfter w:val="1"/>
          <w:wAfter w:w="570" w:type="dxa"/>
          <w:trHeight w:val="558"/>
          <w:jc w:val="center"/>
        </w:trPr>
        <w:tc>
          <w:tcPr>
            <w:tcW w:w="1413" w:type="dxa"/>
          </w:tcPr>
          <w:p w14:paraId="2A14233C" w14:textId="35864C50" w:rsidR="002519AD" w:rsidRPr="00DE27B2" w:rsidRDefault="00473AE6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shd w:val="clear" w:color="auto" w:fill="auto"/>
          </w:tcPr>
          <w:p w14:paraId="61987AB4" w14:textId="4517C847" w:rsidR="002519AD" w:rsidRPr="00DE27B2" w:rsidRDefault="00097F8E" w:rsidP="00097F8E">
            <w:pP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7A2E30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BDKmIR.EPM.01</w:t>
            </w:r>
          </w:p>
        </w:tc>
        <w:tc>
          <w:tcPr>
            <w:tcW w:w="2756" w:type="dxa"/>
            <w:shd w:val="clear" w:color="auto" w:fill="auto"/>
          </w:tcPr>
          <w:p w14:paraId="31A8374A" w14:textId="720D1E5C" w:rsidR="0090551F" w:rsidRPr="00DE27B2" w:rsidRDefault="0090551F" w:rsidP="0090551F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 w:eastAsia="nl-NL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  <w:t xml:space="preserve">IR </w:t>
            </w:r>
            <w:proofErr w:type="spellStart"/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European</w:t>
            </w:r>
            <w:proofErr w:type="spellEnd"/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 Policy </w:t>
            </w:r>
            <w:proofErr w:type="spellStart"/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Making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14:paraId="1D5DDAF1" w14:textId="2DD40260" w:rsidR="002519AD" w:rsidRPr="00DE27B2" w:rsidRDefault="002F029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34A506D9" w14:textId="655904A5" w:rsidR="002519AD" w:rsidRPr="00DE27B2" w:rsidRDefault="0090551F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76D3B356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2BCBD14" w14:textId="04711F17" w:rsidR="002519AD" w:rsidRPr="00DE27B2" w:rsidRDefault="00473AE6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AE803B" w14:textId="7D70068A" w:rsidR="002519AD" w:rsidRPr="00DE27B2" w:rsidRDefault="003B19DF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BDKmIR.PRJ2.01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0A7A3AB8" w14:textId="3796092B" w:rsidR="00097F8E" w:rsidRPr="00DE27B2" w:rsidRDefault="00D66DD2" w:rsidP="0008334D">
            <w:pPr>
              <w:pStyle w:val="Tekstopmerking"/>
              <w:spacing w:before="120" w:after="120"/>
              <w:jc w:val="left"/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4E76E3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Project 2: Global </w:t>
            </w:r>
            <w:proofErr w:type="spellStart"/>
            <w:r w:rsidR="004E76E3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Affairs</w:t>
            </w:r>
            <w:proofErr w:type="spellEnd"/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E2B4BCF" w14:textId="7DCD9D2F" w:rsidR="002519AD" w:rsidRPr="00DE27B2" w:rsidRDefault="002F029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E08090F" w14:textId="55A310FD" w:rsidR="002519AD" w:rsidRPr="00DE27B2" w:rsidRDefault="0090551F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5409EAD9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293E906" w14:textId="3CE62E36" w:rsidR="002519AD" w:rsidRPr="00DE27B2" w:rsidRDefault="002F2B9E" w:rsidP="00DC761A">
            <w:pPr>
              <w:spacing w:before="240"/>
              <w:rPr>
                <w:rFonts w:ascii="Verdana" w:hAnsi="Verdana" w:cs="Tahoma"/>
                <w:color w:val="002060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5F4B8A" w14:textId="78F514BC" w:rsidR="002519AD" w:rsidRPr="00DE27B2" w:rsidRDefault="003B19DF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BDKmIR.PD.01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35E1EE76" w14:textId="42787878" w:rsidR="002519AD" w:rsidRPr="00DE27B2" w:rsidRDefault="00097F8E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D077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Professional </w:t>
            </w:r>
            <w:proofErr w:type="spellStart"/>
            <w:r w:rsidR="00D07708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Development</w:t>
            </w:r>
            <w:proofErr w:type="spellEnd"/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3785EC20" w14:textId="5273EF8D" w:rsidR="002519AD" w:rsidRPr="00DE27B2" w:rsidRDefault="002F029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925D61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FB2626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7C05780" w14:textId="16D059BF" w:rsidR="002519AD" w:rsidRPr="00DE27B2" w:rsidRDefault="0090551F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2519AD" w:rsidRPr="0090551F" w14:paraId="7818588C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B836FF5" w14:textId="1FC889D5" w:rsidR="002519AD" w:rsidRPr="00DE27B2" w:rsidRDefault="002F2B9E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6ADDC7" w14:textId="1EF165EE" w:rsidR="002519AD" w:rsidRPr="00DE27B2" w:rsidRDefault="00097F8E" w:rsidP="00097F8E">
            <w:pP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A35D64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BDKmIR.CT.01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4ACAD19E" w14:textId="08DF7E03" w:rsidR="002519AD" w:rsidRPr="00DE27B2" w:rsidRDefault="00D66DD2" w:rsidP="0008334D">
            <w:pPr>
              <w:pStyle w:val="Tekstopmerking"/>
              <w:spacing w:before="120" w:after="120"/>
              <w:jc w:val="left"/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FD5990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Critical </w:t>
            </w:r>
            <w:proofErr w:type="spellStart"/>
            <w:r w:rsidR="00FD5990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Thinking</w:t>
            </w:r>
            <w:proofErr w:type="spellEnd"/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61D86852" w14:textId="39915367" w:rsidR="002519AD" w:rsidRPr="00DE27B2" w:rsidRDefault="002F029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6270E65" w14:textId="3C7CA868" w:rsidR="002519AD" w:rsidRPr="00DE27B2" w:rsidRDefault="0090551F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D07708" w:rsidRPr="0090551F" w14:paraId="7F1DF9AC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6D210E83" w14:textId="45915442" w:rsidR="00D07708" w:rsidRPr="00DE27B2" w:rsidRDefault="00D07708" w:rsidP="00DC761A">
            <w:pPr>
              <w:spacing w:before="240"/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</w:pPr>
            <w:r w:rsidRPr="00DE27B2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 xml:space="preserve">Mandatory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369B2C" w14:textId="44A698F4" w:rsidR="00D07708" w:rsidRPr="00DE27B2" w:rsidRDefault="00EF67B0" w:rsidP="00DC761A">
            <w:pPr>
              <w:spacing w:before="240"/>
              <w:rPr>
                <w:rFonts w:ascii="Verdana" w:hAnsi="Verdana"/>
                <w:sz w:val="16"/>
                <w:szCs w:val="16"/>
              </w:rPr>
            </w:pPr>
            <w:r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BDKmIR.DC.01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51EBA9E5" w14:textId="13552240" w:rsidR="00D07708" w:rsidRPr="00DE27B2" w:rsidRDefault="00DE27B2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br/>
            </w:r>
            <w:r w:rsidR="004767B1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IR </w:t>
            </w:r>
            <w:proofErr w:type="spellStart"/>
            <w:r w:rsidR="004767B1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>Diplomatic</w:t>
            </w:r>
            <w:proofErr w:type="spellEnd"/>
            <w:r w:rsidR="004767B1" w:rsidRPr="00DE27B2">
              <w:rPr>
                <w:rFonts w:ascii="Verdana" w:hAnsi="Verdana"/>
                <w:color w:val="000000"/>
                <w:sz w:val="16"/>
                <w:szCs w:val="16"/>
                <w:lang w:eastAsia="nl-NL"/>
              </w:rPr>
              <w:t xml:space="preserve"> Communication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58E197E6" w14:textId="2540A4CA" w:rsidR="00D07708" w:rsidRPr="00DE27B2" w:rsidRDefault="002F0290" w:rsidP="0008334D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  <w:r w:rsidR="00097F8E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 w:rsidR="00925D61">
              <w:rPr>
                <w:rFonts w:ascii="Verdana" w:hAnsi="Verdana" w:cs="Calibri"/>
                <w:sz w:val="16"/>
                <w:szCs w:val="16"/>
                <w:lang w:val="en-US"/>
              </w:rPr>
              <w:t>and</w:t>
            </w:r>
            <w:r w:rsidR="00097F8E" w:rsidRPr="00DE27B2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618D26FF" w14:textId="2879EAE9" w:rsidR="00D07708" w:rsidRPr="00DE27B2" w:rsidRDefault="004767B1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E27B2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</w:tr>
      <w:tr w:rsidR="00BF318D" w:rsidRPr="0090551F" w14:paraId="086B5700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0A4" w14:textId="77777777" w:rsidR="007B4B4F" w:rsidRPr="00D021E6" w:rsidRDefault="007B4B4F" w:rsidP="007B4B4F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D021E6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1544B89F" w14:textId="40EB1A29" w:rsidR="00BF318D" w:rsidRPr="00925D61" w:rsidRDefault="007B4B4F" w:rsidP="007B4B4F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1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tr w:rsidR="007304F8" w:rsidRPr="0090551F" w14:paraId="10F3E01E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A40" w14:textId="77777777" w:rsidR="007304F8" w:rsidRDefault="007304F8" w:rsidP="007304F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7984CE3" w14:textId="1E0A7DF3" w:rsidR="007304F8" w:rsidRPr="0090551F" w:rsidRDefault="007304F8" w:rsidP="007304F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3E43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  <w:p w14:paraId="48CA6E2A" w14:textId="5A0970EC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1B26" w14:textId="77777777" w:rsidR="007304F8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  <w:p w14:paraId="18F128F6" w14:textId="480E70BF" w:rsidR="007304F8" w:rsidRPr="00E961B6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8F2B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76BD27D3" w14:textId="343554A4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0508" w14:textId="77777777" w:rsidR="007304F8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1ADCE46" w14:textId="35C8C9F7" w:rsidR="007304F8" w:rsidRPr="00D402F9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7304F8" w:rsidRPr="0090551F" w14:paraId="0B2B2889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7B4" w14:textId="77777777" w:rsidR="007304F8" w:rsidRDefault="007304F8" w:rsidP="007304F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6E9949E" w14:textId="221112E1" w:rsidR="007304F8" w:rsidRPr="0090551F" w:rsidRDefault="007304F8" w:rsidP="007304F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ED6C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79F77AAA" w14:textId="1EBD0754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A9D4" w14:textId="77777777" w:rsidR="007304F8" w:rsidRDefault="007304F8" w:rsidP="007304F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proofErr w:type="spellEnd"/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 xml:space="preserve">Change in </w:t>
            </w:r>
            <w:proofErr w:type="spellStart"/>
            <w:r w:rsidRPr="004539EC">
              <w:rPr>
                <w:rFonts w:ascii="Verdana" w:hAnsi="Verdana" w:cs="Calibri"/>
                <w:sz w:val="16"/>
                <w:lang w:val="en-US"/>
              </w:rPr>
              <w:t>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  <w:proofErr w:type="spellEnd"/>
          </w:p>
          <w:p w14:paraId="12BAE596" w14:textId="77777777" w:rsidR="007304F8" w:rsidRDefault="007304F8" w:rsidP="007304F8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629C2F8" w14:textId="27066E7B" w:rsidR="007304F8" w:rsidRPr="00E961B6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D4F7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2B297DA2" w14:textId="249BB06B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1A3B" w14:textId="77777777" w:rsidR="007304F8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1C58C03" w14:textId="253B2E70" w:rsidR="007304F8" w:rsidRPr="00D402F9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7304F8" w:rsidRPr="0090551F" w14:paraId="405C17C3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E8C" w14:textId="77777777" w:rsidR="007304F8" w:rsidRPr="008D6ED4" w:rsidRDefault="007304F8" w:rsidP="007304F8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1BECA37" w14:textId="0A004A2F" w:rsidR="007304F8" w:rsidRPr="0090551F" w:rsidRDefault="007304F8" w:rsidP="007304F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F5DF" w14:textId="77777777" w:rsidR="007304F8" w:rsidRPr="00D6614B" w:rsidRDefault="007304F8" w:rsidP="007304F8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5F606D88" w14:textId="19B43119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C353" w14:textId="77777777" w:rsidR="007304F8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1156D42C" w14:textId="666020B1" w:rsidR="007304F8" w:rsidRPr="00E961B6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52BF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3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+ 4</w:t>
            </w:r>
          </w:p>
          <w:p w14:paraId="4B1666B0" w14:textId="7BFD0FBF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FC9B" w14:textId="77777777" w:rsidR="007304F8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56E4B73" w14:textId="65AA804D" w:rsidR="007304F8" w:rsidRPr="00D402F9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7304F8" w:rsidRPr="0090551F" w14:paraId="33045FCB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D2E" w14:textId="77777777" w:rsidR="007304F8" w:rsidRDefault="007304F8" w:rsidP="007304F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808746D" w14:textId="6D40E62A" w:rsidR="007304F8" w:rsidRPr="0090551F" w:rsidRDefault="007304F8" w:rsidP="007304F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0D1A" w14:textId="77777777" w:rsidR="007304F8" w:rsidRPr="00E30F7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6767323E" w14:textId="61EC4A20" w:rsidR="007304F8" w:rsidRPr="007304F8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lastRenderedPageBreak/>
              <w:t>BMR.IA.01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168B" w14:textId="77777777" w:rsidR="007304F8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lastRenderedPageBreak/>
              <w:t>Drama &amp; Improvisation*</w:t>
            </w:r>
          </w:p>
          <w:p w14:paraId="7CFF5AA6" w14:textId="1E4EA020" w:rsidR="007304F8" w:rsidRPr="00E961B6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EE38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6B45823F" w14:textId="5DA4B83A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EE0" w14:textId="77777777" w:rsidR="007304F8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4A2931C" w14:textId="3FFF6378" w:rsidR="007304F8" w:rsidRPr="00D402F9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7304F8" w:rsidRPr="0090551F" w14:paraId="76FBD492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577" w14:textId="77777777" w:rsidR="007304F8" w:rsidRDefault="007304F8" w:rsidP="007304F8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9DBB40E" w14:textId="2A1A592E" w:rsidR="007304F8" w:rsidRPr="0090551F" w:rsidRDefault="007304F8" w:rsidP="007304F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3711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0C97579A" w14:textId="1B28594D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1248" w14:textId="77777777" w:rsidR="007304F8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2508729C" w14:textId="3C59FBF2" w:rsidR="007304F8" w:rsidRPr="00E961B6" w:rsidRDefault="007304F8" w:rsidP="007304F8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9E20" w14:textId="77777777" w:rsidR="007304F8" w:rsidRDefault="007304F8" w:rsidP="007304F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50217EF9" w14:textId="39EB1222" w:rsidR="007304F8" w:rsidRPr="00E961B6" w:rsidRDefault="007304F8" w:rsidP="007304F8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3894" w14:textId="77777777" w:rsidR="007304F8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010E80E" w14:textId="45564EF8" w:rsidR="007304F8" w:rsidRPr="00D402F9" w:rsidRDefault="007304F8" w:rsidP="007304F8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2C2140" w:rsidRPr="0090551F" w14:paraId="55AF8A4E" w14:textId="77777777" w:rsidTr="00765D44">
        <w:trPr>
          <w:gridAfter w:val="1"/>
          <w:wAfter w:w="570" w:type="dxa"/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616D6C8" w14:textId="7408C0F0" w:rsidR="002C2140" w:rsidRPr="0090551F" w:rsidRDefault="002C2140" w:rsidP="002C214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A864F" w14:textId="32AB632F" w:rsidR="002C2140" w:rsidRPr="00E961B6" w:rsidRDefault="002C2140" w:rsidP="002C2140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F3B65" w14:textId="6AFBF17A" w:rsidR="002C2140" w:rsidRPr="00E961B6" w:rsidRDefault="002C2140" w:rsidP="002C2140">
            <w:pPr>
              <w:pStyle w:val="Tekstopmerking"/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68276" w14:textId="1469D7A9" w:rsidR="002C2140" w:rsidRPr="00E961B6" w:rsidRDefault="002C2140" w:rsidP="002C2140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7AA82" w14:textId="5E6BB8C0" w:rsidR="002C2140" w:rsidRPr="00D402F9" w:rsidRDefault="002C2140" w:rsidP="00976BF6">
            <w:pPr>
              <w:spacing w:before="120" w:after="120"/>
              <w:jc w:val="center"/>
              <w:rPr>
                <w:rFonts w:ascii="Verdana" w:hAnsi="Verdana" w:cs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  <w:tr w:rsidR="009944E9" w:rsidRPr="00B5111D" w14:paraId="2A38FB18" w14:textId="77777777" w:rsidTr="00765D44">
        <w:trPr>
          <w:trHeight w:val="473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7048D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0E249B85" w14:textId="6AC28180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proofErr w:type="spellStart"/>
            <w:r w:rsidRPr="00B5111D">
              <w:rPr>
                <w:rFonts w:ascii="Verdana" w:hAnsi="Verdana" w:cs="Calibri"/>
                <w:vertAlign w:val="superscript"/>
                <w:lang w:val="en-US"/>
              </w:rPr>
              <w:t>a</w:t>
            </w:r>
            <w:proofErr w:type="spellEnd"/>
            <w:r w:rsidRPr="00B5111D">
              <w:rPr>
                <w:i/>
                <w:lang w:val="en-US"/>
              </w:rPr>
              <w:t xml:space="preserve">    </w:t>
            </w:r>
            <w:r w:rsidRPr="00B5111D">
              <w:rPr>
                <w:szCs w:val="16"/>
                <w:lang w:val="en-US"/>
              </w:rPr>
              <w:t>All modules marked ‘</w:t>
            </w:r>
            <w:r w:rsidR="009B7A4A">
              <w:rPr>
                <w:szCs w:val="16"/>
                <w:lang w:val="en-US"/>
              </w:rPr>
              <w:t>mandatory’</w:t>
            </w:r>
            <w:r w:rsidRPr="00B5111D">
              <w:rPr>
                <w:szCs w:val="16"/>
                <w:lang w:val="en-US"/>
              </w:rPr>
              <w:t xml:space="preserve">, will automatically be included in the Learning Agreement. Students are expected to fully </w:t>
            </w:r>
          </w:p>
          <w:p w14:paraId="2D6EF511" w14:textId="5D892330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</w:t>
            </w:r>
            <w:r w:rsidR="00517FB7" w:rsidRPr="00B5111D">
              <w:rPr>
                <w:szCs w:val="16"/>
                <w:lang w:val="en-US"/>
              </w:rPr>
              <w:t>participate</w:t>
            </w:r>
            <w:r w:rsidRPr="00B5111D">
              <w:rPr>
                <w:szCs w:val="16"/>
                <w:lang w:val="en-US"/>
              </w:rPr>
              <w:t xml:space="preserve"> in these modules.  Students choose a package of 25 ECTS or more per semester with a maximum of 40 ECTS.</w:t>
            </w:r>
          </w:p>
          <w:p w14:paraId="5457372B" w14:textId="58E26D6F" w:rsidR="0043356C" w:rsidRDefault="009944E9" w:rsidP="007E222B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The </w:t>
            </w:r>
            <w:proofErr w:type="spellStart"/>
            <w:r w:rsidRPr="00B5111D">
              <w:rPr>
                <w:szCs w:val="16"/>
                <w:lang w:val="en-US"/>
              </w:rPr>
              <w:t>programme</w:t>
            </w:r>
            <w:proofErr w:type="spellEnd"/>
            <w:r w:rsidRPr="00B5111D">
              <w:rPr>
                <w:szCs w:val="16"/>
                <w:lang w:val="en-US"/>
              </w:rPr>
              <w:t xml:space="preserve"> includes several excursions abroad, for which participation is highly advisable but optional.</w:t>
            </w:r>
          </w:p>
          <w:p w14:paraId="018D18D7" w14:textId="77777777" w:rsidR="007E222B" w:rsidRPr="007E222B" w:rsidRDefault="007E222B" w:rsidP="007E222B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27F3F87C" w14:textId="18C8F155" w:rsidR="009944E9" w:rsidRPr="00B5111D" w:rsidRDefault="007E222B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="009944E9" w:rsidRPr="00B5111D">
              <w:rPr>
                <w:szCs w:val="16"/>
                <w:lang w:val="en-US"/>
              </w:rPr>
              <w:t xml:space="preserve">    Dutch Language 2: Prerequisite for taking this course: Dutch Language 1</w:t>
            </w:r>
          </w:p>
          <w:p w14:paraId="7679EA74" w14:textId="77777777" w:rsidR="0043356C" w:rsidRDefault="0043356C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55906D8F" w14:textId="5942B6E0" w:rsidR="009944E9" w:rsidRPr="00B5111D" w:rsidRDefault="007E222B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>
              <w:rPr>
                <w:rFonts w:ascii="Verdana" w:hAnsi="Verdana" w:cs="Calibri"/>
                <w:vertAlign w:val="superscript"/>
                <w:lang w:val="en-US"/>
              </w:rPr>
              <w:t>c</w:t>
            </w:r>
            <w:r w:rsidR="009944E9" w:rsidRPr="00B5111D">
              <w:rPr>
                <w:rFonts w:ascii="Verdana" w:hAnsi="Verdana" w:cs="Calibri"/>
                <w:vertAlign w:val="superscript"/>
                <w:lang w:val="en-US"/>
              </w:rPr>
              <w:t xml:space="preserve">     </w:t>
            </w:r>
            <w:r w:rsidR="009944E9" w:rsidRPr="00B5111D">
              <w:rPr>
                <w:lang w:val="en-US"/>
              </w:rPr>
              <w:t>Class will only take place if there are at least 8 participating students, (a maximum of 30 students)</w:t>
            </w:r>
          </w:p>
          <w:p w14:paraId="31493D10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14A0F125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</w:p>
          <w:p w14:paraId="590D858B" w14:textId="38A46288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1. Even if we do our very best to schedule all modules </w:t>
            </w:r>
            <w:r w:rsidR="00517FB7" w:rsidRPr="00B5111D">
              <w:rPr>
                <w:rFonts w:ascii="Verdana" w:hAnsi="Verdana" w:cs="Calibri"/>
                <w:lang w:val="en-US"/>
              </w:rPr>
              <w:t>independently</w:t>
            </w:r>
            <w:r w:rsidRPr="00B5111D">
              <w:rPr>
                <w:rFonts w:ascii="Verdana" w:hAnsi="Verdana" w:cs="Calibri"/>
                <w:lang w:val="en-US"/>
              </w:rPr>
              <w:t xml:space="preserve"> of each other, it may occur that modules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overlap in terms of timetable, obligatory modules excluded. </w:t>
            </w:r>
          </w:p>
          <w:p w14:paraId="76C91968" w14:textId="05C93E0A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2. Please note that you may only submit one learning agreement per semester! In other words: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modules offered by different departments cannot be combined to constitute a single study </w:t>
            </w:r>
            <w:proofErr w:type="spellStart"/>
            <w:r w:rsidRPr="00B5111D">
              <w:rPr>
                <w:rFonts w:ascii="Verdana" w:hAnsi="Verdana" w:cs="Calibri"/>
                <w:lang w:val="en-US"/>
              </w:rPr>
              <w:t>programme</w:t>
            </w:r>
            <w:proofErr w:type="spellEnd"/>
            <w:r w:rsidRPr="00B5111D">
              <w:rPr>
                <w:rFonts w:ascii="Verdana" w:hAnsi="Verdana" w:cs="Calibri"/>
                <w:lang w:val="en-US"/>
              </w:rPr>
              <w:t>.</w:t>
            </w:r>
          </w:p>
          <w:p w14:paraId="1BE0AAE9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3. The </w:t>
            </w:r>
            <w:r w:rsidRPr="00B5111D">
              <w:rPr>
                <w:rFonts w:ascii="Verdana" w:hAnsi="Verdana" w:cs="Calibri"/>
                <w:u w:val="single"/>
                <w:lang w:val="en-US"/>
              </w:rPr>
              <w:t>minimum</w:t>
            </w:r>
            <w:r w:rsidRPr="00B5111D">
              <w:rPr>
                <w:rFonts w:ascii="Verdana" w:hAnsi="Verdana" w:cs="Calibri"/>
                <w:lang w:val="en-US"/>
              </w:rPr>
              <w:t xml:space="preserve"> English language requirement for this exchange </w:t>
            </w:r>
            <w:proofErr w:type="spellStart"/>
            <w:r w:rsidRPr="00B5111D">
              <w:rPr>
                <w:rFonts w:ascii="Verdana" w:hAnsi="Verdana" w:cs="Calibri"/>
                <w:lang w:val="en-US"/>
              </w:rPr>
              <w:t>programme</w:t>
            </w:r>
            <w:proofErr w:type="spellEnd"/>
            <w:r w:rsidRPr="00B5111D">
              <w:rPr>
                <w:rFonts w:ascii="Verdana" w:hAnsi="Verdana" w:cs="Calibri"/>
                <w:lang w:val="en-US"/>
              </w:rPr>
              <w:t xml:space="preserve"> is CEF B2 or equivalent.</w:t>
            </w:r>
          </w:p>
          <w:p w14:paraId="15097780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4. Students can only change optional modules in the first week of each period. </w:t>
            </w:r>
          </w:p>
          <w:p w14:paraId="5D31280F" w14:textId="77777777" w:rsidR="009944E9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>Note   5. Modifications reserved.</w:t>
            </w:r>
          </w:p>
          <w:p w14:paraId="6B11F034" w14:textId="273A2E96" w:rsidR="00765D44" w:rsidRPr="00B5111D" w:rsidRDefault="00765D44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</w:p>
        </w:tc>
      </w:tr>
      <w:tr w:rsidR="00516DB2" w:rsidRPr="00865FC1" w14:paraId="323E1B55" w14:textId="77777777" w:rsidTr="00765D44">
        <w:trPr>
          <w:trHeight w:val="473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B64E5" w14:textId="77777777" w:rsidR="00516DB2" w:rsidRPr="003E3743" w:rsidRDefault="00516DB2" w:rsidP="00806B98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5368B483" w14:textId="77777777" w:rsidR="00516DB2" w:rsidRPr="00130DA6" w:rsidRDefault="00516DB2" w:rsidP="00806B98">
            <w:pPr>
              <w:pStyle w:val="Voettekst"/>
              <w:tabs>
                <w:tab w:val="left" w:pos="1766"/>
                <w:tab w:val="right" w:pos="9356"/>
              </w:tabs>
              <w:rPr>
                <w:rFonts w:cs="Arial"/>
                <w:i/>
              </w:rPr>
            </w:pPr>
            <w:r w:rsidRPr="003E3743">
              <w:rPr>
                <w:i/>
              </w:rPr>
              <w:t>*</w:t>
            </w:r>
            <w:r w:rsidRPr="00130DA6">
              <w:rPr>
                <w:rFonts w:cs="Arial"/>
                <w:i/>
              </w:rPr>
              <w:t xml:space="preserve">Drama &amp; Improvisation : </w:t>
            </w:r>
            <w:proofErr w:type="spellStart"/>
            <w:r w:rsidRPr="00130DA6">
              <w:rPr>
                <w:rFonts w:cs="Arial"/>
                <w:i/>
              </w:rPr>
              <w:t>this</w:t>
            </w:r>
            <w:proofErr w:type="spellEnd"/>
            <w:r w:rsidRPr="00130DA6">
              <w:rPr>
                <w:rFonts w:cs="Arial"/>
                <w:i/>
              </w:rPr>
              <w:t xml:space="preserve"> class </w:t>
            </w:r>
            <w:proofErr w:type="spellStart"/>
            <w:r w:rsidRPr="00130DA6">
              <w:rPr>
                <w:rFonts w:cs="Arial"/>
                <w:i/>
              </w:rPr>
              <w:t>will</w:t>
            </w:r>
            <w:proofErr w:type="spellEnd"/>
            <w:r w:rsidRPr="00130DA6">
              <w:rPr>
                <w:rFonts w:cs="Arial"/>
                <w:i/>
              </w:rPr>
              <w:t xml:space="preserve"> </w:t>
            </w:r>
            <w:proofErr w:type="spellStart"/>
            <w:r w:rsidRPr="00130DA6">
              <w:rPr>
                <w:rFonts w:cs="Arial"/>
                <w:i/>
              </w:rPr>
              <w:t>only</w:t>
            </w:r>
            <w:proofErr w:type="spellEnd"/>
            <w:r w:rsidRPr="00130DA6">
              <w:rPr>
                <w:rFonts w:cs="Arial"/>
                <w:i/>
              </w:rPr>
              <w:t xml:space="preserve"> </w:t>
            </w:r>
            <w:proofErr w:type="spellStart"/>
            <w:r w:rsidRPr="00130DA6">
              <w:rPr>
                <w:rFonts w:cs="Arial"/>
                <w:i/>
              </w:rPr>
              <w:t>take</w:t>
            </w:r>
            <w:proofErr w:type="spellEnd"/>
            <w:r w:rsidRPr="00130DA6">
              <w:rPr>
                <w:rFonts w:cs="Arial"/>
                <w:i/>
              </w:rPr>
              <w:t xml:space="preserve"> place if </w:t>
            </w:r>
            <w:proofErr w:type="spellStart"/>
            <w:r w:rsidRPr="00130DA6">
              <w:rPr>
                <w:rFonts w:cs="Arial"/>
                <w:i/>
              </w:rPr>
              <w:t>there</w:t>
            </w:r>
            <w:proofErr w:type="spellEnd"/>
            <w:r w:rsidRPr="00130DA6">
              <w:rPr>
                <w:rFonts w:cs="Arial"/>
                <w:i/>
              </w:rPr>
              <w:t xml:space="preserve"> are at least 8 </w:t>
            </w:r>
            <w:proofErr w:type="spellStart"/>
            <w:r w:rsidRPr="00130DA6">
              <w:rPr>
                <w:rFonts w:cs="Arial"/>
                <w:i/>
              </w:rPr>
              <w:t>participating</w:t>
            </w:r>
            <w:proofErr w:type="spellEnd"/>
            <w:r w:rsidRPr="00130DA6">
              <w:rPr>
                <w:rFonts w:cs="Arial"/>
                <w:i/>
              </w:rPr>
              <w:t xml:space="preserve"> </w:t>
            </w:r>
            <w:proofErr w:type="spellStart"/>
            <w:r w:rsidRPr="00130DA6">
              <w:rPr>
                <w:rFonts w:cs="Arial"/>
                <w:i/>
              </w:rPr>
              <w:t>students</w:t>
            </w:r>
            <w:proofErr w:type="spellEnd"/>
          </w:p>
          <w:p w14:paraId="72E1D516" w14:textId="77777777" w:rsidR="00516DB2" w:rsidRDefault="00516DB2" w:rsidP="00806B98">
            <w:pPr>
              <w:pStyle w:val="Voettekst"/>
              <w:tabs>
                <w:tab w:val="left" w:pos="1766"/>
                <w:tab w:val="right" w:pos="9356"/>
              </w:tabs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</w:pPr>
            <w:r w:rsidRPr="00130DA6">
              <w:rPr>
                <w:rFonts w:cs="Arial"/>
                <w:i/>
              </w:rPr>
              <w:t>**</w:t>
            </w:r>
            <w:r w:rsidRPr="00130DA6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In case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demand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surpasses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availability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,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you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may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be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required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to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modify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your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module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selections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during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the '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add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 and drop </w:t>
            </w:r>
            <w:proofErr w:type="spellStart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weeks</w:t>
            </w:r>
            <w:proofErr w:type="spellEnd"/>
            <w:r w:rsidRPr="00130DA6"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' a</w:t>
            </w:r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t</w:t>
            </w:r>
          </w:p>
          <w:p w14:paraId="5CB8A27A" w14:textId="77777777" w:rsidR="00516DB2" w:rsidRPr="00FC26F8" w:rsidRDefault="00516DB2" w:rsidP="00806B98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 xml:space="preserve">the start of the </w:t>
            </w:r>
            <w:proofErr w:type="spellStart"/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semester</w:t>
            </w:r>
            <w:proofErr w:type="spellEnd"/>
            <w:r>
              <w:rPr>
                <w:rFonts w:cs="Arial"/>
                <w:i/>
                <w:iCs/>
                <w:color w:val="000000"/>
                <w:szCs w:val="16"/>
                <w:shd w:val="clear" w:color="auto" w:fill="FFFFFF"/>
              </w:rPr>
              <w:t>.</w:t>
            </w:r>
          </w:p>
        </w:tc>
      </w:tr>
    </w:tbl>
    <w:p w14:paraId="13AB4CC5" w14:textId="77777777" w:rsidR="00516DB2" w:rsidRDefault="00516DB2" w:rsidP="00516DB2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516DB2" w:rsidRPr="00082002" w14:paraId="5C3084C0" w14:textId="77777777" w:rsidTr="00806B98">
        <w:trPr>
          <w:jc w:val="center"/>
        </w:trPr>
        <w:tc>
          <w:tcPr>
            <w:tcW w:w="8770" w:type="dxa"/>
            <w:shd w:val="clear" w:color="auto" w:fill="auto"/>
          </w:tcPr>
          <w:p w14:paraId="2DACE095" w14:textId="77777777" w:rsidR="00516DB2" w:rsidRPr="00D423A9" w:rsidRDefault="00516DB2" w:rsidP="00806B9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http://www.windesheiminternational.nl/study-programmes/exchange-programmes/</w:t>
            </w:r>
          </w:p>
        </w:tc>
      </w:tr>
    </w:tbl>
    <w:p w14:paraId="2D66718E" w14:textId="77777777" w:rsidR="00765D44" w:rsidRDefault="00765D44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</w:p>
    <w:p w14:paraId="7798C1A1" w14:textId="055F204A" w:rsidR="00B256DE" w:rsidRPr="00D63AE2" w:rsidRDefault="00B256DE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263DE792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3A4939DF" w14:textId="458AE5DA" w:rsidR="00D63AE2" w:rsidRPr="00D63AE2" w:rsidRDefault="00000000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hyperlink r:id="rId12" w:history="1">
              <w:r w:rsidR="00491786" w:rsidRPr="00491786">
                <w:rPr>
                  <w:color w:val="0000FF"/>
                  <w:u w:val="single"/>
                </w:rPr>
                <w:t>course-catalogue-International-Relations-2324.pdf (windesheim.com)</w:t>
              </w:r>
            </w:hyperlink>
          </w:p>
        </w:tc>
      </w:tr>
    </w:tbl>
    <w:p w14:paraId="2E7CBDB8" w14:textId="7CD729B7" w:rsidR="005D5129" w:rsidRPr="008753E2" w:rsidRDefault="00B256DE" w:rsidP="00D423A9">
      <w:pPr>
        <w:keepNext/>
        <w:keepLines/>
        <w:spacing w:before="240" w:after="120"/>
        <w:rPr>
          <w:rFonts w:ascii="Verdana" w:hAnsi="Verdana" w:cs="Calibri"/>
          <w:b/>
          <w:sz w:val="20"/>
          <w:lang w:val="en-GB"/>
        </w:rPr>
      </w:pPr>
      <w:r w:rsidRPr="008753E2">
        <w:rPr>
          <w:rFonts w:ascii="Verdana" w:hAnsi="Verdana" w:cs="Calibri"/>
          <w:b/>
          <w:sz w:val="20"/>
          <w:lang w:val="en-GB"/>
        </w:rPr>
        <w:t>I</w:t>
      </w:r>
      <w:r w:rsidR="005D5129" w:rsidRPr="008753E2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0286FB63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0F66B9A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0E84CC5E" w14:textId="77777777" w:rsidTr="006C44F1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1460B" w14:textId="77777777" w:rsidR="00491786" w:rsidRDefault="00135ED9" w:rsidP="006C44F1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2EC96A7" w14:textId="5D4A385E" w:rsidR="00135ED9" w:rsidRPr="00491786" w:rsidRDefault="00135ED9" w:rsidP="006C44F1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95C7FD9" w14:textId="77777777" w:rsidR="00135ED9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CA19959" w14:textId="77777777" w:rsidR="00135ED9" w:rsidRPr="007B3F1B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7A0EE52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6419BE9C" w14:textId="77777777" w:rsidTr="006C44F1">
        <w:trPr>
          <w:jc w:val="center"/>
        </w:trPr>
        <w:tc>
          <w:tcPr>
            <w:tcW w:w="8841" w:type="dxa"/>
            <w:shd w:val="clear" w:color="auto" w:fill="auto"/>
          </w:tcPr>
          <w:p w14:paraId="13E36DCC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6F7F2D2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2BF4BD21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7085B46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6A286CA" w14:textId="77777777" w:rsidR="00135ED9" w:rsidRPr="007B3F1B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AB24E99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587AE2B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357E1AF3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1DCAE2D" w14:textId="4A115B38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</w:t>
            </w:r>
            <w:r w:rsidR="002202AF">
              <w:rPr>
                <w:rFonts w:ascii="Verdana" w:hAnsi="Verdana" w:cs="Calibri"/>
                <w:sz w:val="20"/>
                <w:lang w:val="en-GB"/>
              </w:rPr>
              <w:t xml:space="preserve">Mr. </w:t>
            </w:r>
            <w:r w:rsidR="00D75AF3">
              <w:rPr>
                <w:rFonts w:ascii="Verdana" w:hAnsi="Verdana" w:cs="Calibri"/>
                <w:sz w:val="20"/>
                <w:lang w:val="en-GB"/>
              </w:rPr>
              <w:t xml:space="preserve">Hani </w:t>
            </w:r>
            <w:r w:rsidR="00D6043C">
              <w:rPr>
                <w:rFonts w:ascii="Verdana" w:hAnsi="Verdana" w:cs="Calibri"/>
                <w:sz w:val="20"/>
                <w:lang w:val="en-GB"/>
              </w:rPr>
              <w:t>Al-</w:t>
            </w:r>
            <w:r w:rsidR="00D75AF3">
              <w:rPr>
                <w:rFonts w:ascii="Verdana" w:hAnsi="Verdana" w:cs="Calibri"/>
                <w:sz w:val="20"/>
                <w:lang w:val="en-GB"/>
              </w:rPr>
              <w:t>Duais</w:t>
            </w:r>
            <w:r w:rsidR="00491786">
              <w:rPr>
                <w:rFonts w:ascii="Verdana" w:hAnsi="Verdana" w:cs="Calibri"/>
                <w:sz w:val="20"/>
                <w:lang w:val="en-GB"/>
              </w:rPr>
              <w:t xml:space="preserve">                          </w:t>
            </w:r>
            <w:r w:rsidR="00491786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491786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A12BC47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6F1E214" w14:textId="1972CDF6" w:rsidR="00135ED9" w:rsidRPr="007B3F1B" w:rsidRDefault="00135ED9" w:rsidP="002202A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D57A0CD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9865" w14:textId="77777777" w:rsidR="007A2BBE" w:rsidRDefault="007A2BBE">
      <w:r>
        <w:separator/>
      </w:r>
    </w:p>
  </w:endnote>
  <w:endnote w:type="continuationSeparator" w:id="0">
    <w:p w14:paraId="73D73208" w14:textId="77777777" w:rsidR="007A2BBE" w:rsidRDefault="007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E1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908" w14:textId="77777777" w:rsidR="00A54F83" w:rsidRDefault="00A54F83">
    <w:pPr>
      <w:pStyle w:val="Voettekst"/>
    </w:pPr>
  </w:p>
  <w:p w14:paraId="1E35474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E097" w14:textId="77777777" w:rsidR="007A2BBE" w:rsidRDefault="007A2BBE">
      <w:r>
        <w:separator/>
      </w:r>
    </w:p>
  </w:footnote>
  <w:footnote w:type="continuationSeparator" w:id="0">
    <w:p w14:paraId="27274177" w14:textId="77777777" w:rsidR="007A2BBE" w:rsidRDefault="007A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2AE" w14:textId="64729FE1" w:rsidR="00A54F83" w:rsidRPr="00FD64F1" w:rsidRDefault="007E1F9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45B77AA4" wp14:editId="25271006">
          <wp:simplePos x="0" y="0"/>
          <wp:positionH relativeFrom="column">
            <wp:posOffset>1925320</wp:posOffset>
          </wp:positionH>
          <wp:positionV relativeFrom="paragraph">
            <wp:posOffset>-533689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55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0F5687" wp14:editId="6D2AEC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E803A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A1001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F56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5FEE803A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BBA1001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C86D55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E773789" wp14:editId="2E9A2D8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5D810" w14:textId="77777777" w:rsidR="00194FF3" w:rsidRDefault="00194FF3"/>
  <w:p w14:paraId="7C3EC94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D0C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37AABC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B4A50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66E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7EB8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8C8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2CC6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DA6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6C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F676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212E6AF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22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3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318D82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109F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C5AB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0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65577518">
    <w:abstractNumId w:val="1"/>
  </w:num>
  <w:num w:numId="2" w16cid:durableId="718018332">
    <w:abstractNumId w:val="0"/>
  </w:num>
  <w:num w:numId="3" w16cid:durableId="2142456082">
    <w:abstractNumId w:val="11"/>
  </w:num>
  <w:num w:numId="4" w16cid:durableId="1269696323">
    <w:abstractNumId w:val="18"/>
  </w:num>
  <w:num w:numId="5" w16cid:durableId="1418213666">
    <w:abstractNumId w:val="13"/>
  </w:num>
  <w:num w:numId="6" w16cid:durableId="191459524">
    <w:abstractNumId w:val="17"/>
  </w:num>
  <w:num w:numId="7" w16cid:durableId="1246649386">
    <w:abstractNumId w:val="27"/>
  </w:num>
  <w:num w:numId="8" w16cid:durableId="1737127742">
    <w:abstractNumId w:val="28"/>
  </w:num>
  <w:num w:numId="9" w16cid:durableId="1548223947">
    <w:abstractNumId w:val="15"/>
  </w:num>
  <w:num w:numId="10" w16cid:durableId="307367345">
    <w:abstractNumId w:val="26"/>
  </w:num>
  <w:num w:numId="11" w16cid:durableId="1586038345">
    <w:abstractNumId w:val="25"/>
  </w:num>
  <w:num w:numId="12" w16cid:durableId="744188474">
    <w:abstractNumId w:val="21"/>
  </w:num>
  <w:num w:numId="13" w16cid:durableId="702904396">
    <w:abstractNumId w:val="24"/>
  </w:num>
  <w:num w:numId="14" w16cid:durableId="1054738722">
    <w:abstractNumId w:val="12"/>
  </w:num>
  <w:num w:numId="15" w16cid:durableId="1570386125">
    <w:abstractNumId w:val="16"/>
  </w:num>
  <w:num w:numId="16" w16cid:durableId="573249089">
    <w:abstractNumId w:val="8"/>
  </w:num>
  <w:num w:numId="17" w16cid:durableId="1421097773">
    <w:abstractNumId w:val="14"/>
  </w:num>
  <w:num w:numId="18" w16cid:durableId="297996635">
    <w:abstractNumId w:val="29"/>
  </w:num>
  <w:num w:numId="19" w16cid:durableId="2125881292">
    <w:abstractNumId w:val="23"/>
  </w:num>
  <w:num w:numId="20" w16cid:durableId="1324889020">
    <w:abstractNumId w:val="10"/>
  </w:num>
  <w:num w:numId="21" w16cid:durableId="251013989">
    <w:abstractNumId w:val="19"/>
  </w:num>
  <w:num w:numId="22" w16cid:durableId="1022363493">
    <w:abstractNumId w:val="20"/>
  </w:num>
  <w:num w:numId="23" w16cid:durableId="1240601441">
    <w:abstractNumId w:val="22"/>
  </w:num>
  <w:num w:numId="24" w16cid:durableId="1705714350">
    <w:abstractNumId w:val="7"/>
  </w:num>
  <w:num w:numId="25" w16cid:durableId="192429204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17F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334D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4F"/>
    <w:rsid w:val="00092B8D"/>
    <w:rsid w:val="00093015"/>
    <w:rsid w:val="000942F7"/>
    <w:rsid w:val="00094313"/>
    <w:rsid w:val="00094F5F"/>
    <w:rsid w:val="00095156"/>
    <w:rsid w:val="00097276"/>
    <w:rsid w:val="00097F8E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12B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5ED9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3A2B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ADC"/>
    <w:rsid w:val="002067A1"/>
    <w:rsid w:val="002104BD"/>
    <w:rsid w:val="0021084F"/>
    <w:rsid w:val="002115B6"/>
    <w:rsid w:val="0021201F"/>
    <w:rsid w:val="002122ED"/>
    <w:rsid w:val="00212DB6"/>
    <w:rsid w:val="002138F8"/>
    <w:rsid w:val="00213A84"/>
    <w:rsid w:val="00213AD3"/>
    <w:rsid w:val="00214987"/>
    <w:rsid w:val="00214C24"/>
    <w:rsid w:val="002151E7"/>
    <w:rsid w:val="00215B44"/>
    <w:rsid w:val="0021609D"/>
    <w:rsid w:val="00216B30"/>
    <w:rsid w:val="002202AF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19AD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140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290"/>
    <w:rsid w:val="002F04D9"/>
    <w:rsid w:val="002F07EA"/>
    <w:rsid w:val="002F0C39"/>
    <w:rsid w:val="002F1592"/>
    <w:rsid w:val="002F2B9E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A6D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4EE3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F91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9DF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59EC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A34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356C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67827"/>
    <w:rsid w:val="00470CE2"/>
    <w:rsid w:val="00470DBD"/>
    <w:rsid w:val="00470E32"/>
    <w:rsid w:val="00472588"/>
    <w:rsid w:val="004735C5"/>
    <w:rsid w:val="00473AE6"/>
    <w:rsid w:val="00473CFE"/>
    <w:rsid w:val="0047433A"/>
    <w:rsid w:val="0047470E"/>
    <w:rsid w:val="0047490C"/>
    <w:rsid w:val="004767B1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1786"/>
    <w:rsid w:val="004943F7"/>
    <w:rsid w:val="004969F1"/>
    <w:rsid w:val="00496F00"/>
    <w:rsid w:val="004A19CA"/>
    <w:rsid w:val="004A22AD"/>
    <w:rsid w:val="004A2B46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B79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6E3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7CE"/>
    <w:rsid w:val="00507980"/>
    <w:rsid w:val="00510351"/>
    <w:rsid w:val="005158AF"/>
    <w:rsid w:val="00515E4F"/>
    <w:rsid w:val="00516478"/>
    <w:rsid w:val="00516DB2"/>
    <w:rsid w:val="00517FB7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6BB4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88"/>
    <w:rsid w:val="00596EF5"/>
    <w:rsid w:val="005970CB"/>
    <w:rsid w:val="0059760A"/>
    <w:rsid w:val="005977C7"/>
    <w:rsid w:val="005A10C1"/>
    <w:rsid w:val="005A20A6"/>
    <w:rsid w:val="005A2308"/>
    <w:rsid w:val="005A302B"/>
    <w:rsid w:val="005A3FD8"/>
    <w:rsid w:val="005A4856"/>
    <w:rsid w:val="005A4FF1"/>
    <w:rsid w:val="005A6207"/>
    <w:rsid w:val="005B0DDB"/>
    <w:rsid w:val="005B0E96"/>
    <w:rsid w:val="005B11B2"/>
    <w:rsid w:val="005B179F"/>
    <w:rsid w:val="005B357C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AB0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3926"/>
    <w:rsid w:val="006541A7"/>
    <w:rsid w:val="00654926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2627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237"/>
    <w:rsid w:val="00705566"/>
    <w:rsid w:val="00705836"/>
    <w:rsid w:val="00706126"/>
    <w:rsid w:val="007064C9"/>
    <w:rsid w:val="00707098"/>
    <w:rsid w:val="007076C9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07F0"/>
    <w:rsid w:val="00721BAF"/>
    <w:rsid w:val="007223BF"/>
    <w:rsid w:val="00723AE6"/>
    <w:rsid w:val="00727BA7"/>
    <w:rsid w:val="00727E46"/>
    <w:rsid w:val="007304F8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D44"/>
    <w:rsid w:val="00765F68"/>
    <w:rsid w:val="007673FA"/>
    <w:rsid w:val="00767B23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631B"/>
    <w:rsid w:val="007A003F"/>
    <w:rsid w:val="007A09AE"/>
    <w:rsid w:val="007A0ADC"/>
    <w:rsid w:val="007A1742"/>
    <w:rsid w:val="007A1A4A"/>
    <w:rsid w:val="007A1DEF"/>
    <w:rsid w:val="007A1E9B"/>
    <w:rsid w:val="007A2BBE"/>
    <w:rsid w:val="007A2D61"/>
    <w:rsid w:val="007A2E30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4B4F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1F92"/>
    <w:rsid w:val="007E222B"/>
    <w:rsid w:val="007E293D"/>
    <w:rsid w:val="007E2987"/>
    <w:rsid w:val="007E2CBF"/>
    <w:rsid w:val="007E2F6C"/>
    <w:rsid w:val="007E347D"/>
    <w:rsid w:val="007E35FC"/>
    <w:rsid w:val="007E4B17"/>
    <w:rsid w:val="007E6B05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303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8FC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A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1E42"/>
    <w:rsid w:val="00862BF4"/>
    <w:rsid w:val="0086346C"/>
    <w:rsid w:val="008642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3E2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9DE"/>
    <w:rsid w:val="00902B1C"/>
    <w:rsid w:val="0090551F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5353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25D61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24B"/>
    <w:rsid w:val="00944DE9"/>
    <w:rsid w:val="00945189"/>
    <w:rsid w:val="009463FC"/>
    <w:rsid w:val="00947DE7"/>
    <w:rsid w:val="009519A8"/>
    <w:rsid w:val="0095201B"/>
    <w:rsid w:val="00953D46"/>
    <w:rsid w:val="00954EAD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6BF6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1B09"/>
    <w:rsid w:val="009934FE"/>
    <w:rsid w:val="009944E9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704"/>
    <w:rsid w:val="009B7A4A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5D64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3C2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3460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6C85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4DD"/>
    <w:rsid w:val="00B13BA9"/>
    <w:rsid w:val="00B14FCB"/>
    <w:rsid w:val="00B15429"/>
    <w:rsid w:val="00B16232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11D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26F0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130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9A"/>
    <w:rsid w:val="00BC4168"/>
    <w:rsid w:val="00BC4B5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206F"/>
    <w:rsid w:val="00BF318D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5AE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831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56CC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6D55"/>
    <w:rsid w:val="00C8724E"/>
    <w:rsid w:val="00C876FD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4414"/>
    <w:rsid w:val="00CC5B54"/>
    <w:rsid w:val="00CC62B7"/>
    <w:rsid w:val="00CC690A"/>
    <w:rsid w:val="00CC6FED"/>
    <w:rsid w:val="00CC73E6"/>
    <w:rsid w:val="00CD08CF"/>
    <w:rsid w:val="00CD4B07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1E6"/>
    <w:rsid w:val="00D02AA9"/>
    <w:rsid w:val="00D02BAF"/>
    <w:rsid w:val="00D040A3"/>
    <w:rsid w:val="00D041C6"/>
    <w:rsid w:val="00D0504B"/>
    <w:rsid w:val="00D07708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02F9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43C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66DD2"/>
    <w:rsid w:val="00D700C2"/>
    <w:rsid w:val="00D7052D"/>
    <w:rsid w:val="00D720FA"/>
    <w:rsid w:val="00D7496E"/>
    <w:rsid w:val="00D75AF3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16F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6DF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13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61A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133"/>
    <w:rsid w:val="00DE1B1A"/>
    <w:rsid w:val="00DE27B2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20D8"/>
    <w:rsid w:val="00DF2ED5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2BB5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6CD0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D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61B6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7B0"/>
    <w:rsid w:val="00EF6C21"/>
    <w:rsid w:val="00EF7057"/>
    <w:rsid w:val="00F0007F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1736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26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1AA3"/>
    <w:rsid w:val="00FC34F7"/>
    <w:rsid w:val="00FC3891"/>
    <w:rsid w:val="00FC69B2"/>
    <w:rsid w:val="00FC78C2"/>
    <w:rsid w:val="00FD14AF"/>
    <w:rsid w:val="00FD1E0A"/>
    <w:rsid w:val="00FD2459"/>
    <w:rsid w:val="00FD4B24"/>
    <w:rsid w:val="00FD5990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42B03"/>
  <w15:chartTrackingRefBased/>
  <w15:docId w15:val="{D024B19B-E7C0-47BD-A9CF-249B5DA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ndesheim.com/getmedia/b9cd09f4-05f1-4d4b-b303-5cef509a55e3/course-catalogue-International-Relations-23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7" ma:contentTypeDescription="Een nieuw document maken." ma:contentTypeScope="" ma:versionID="58b4d87eb585173458a4549da3669f8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8e1abdcad4561ca3b7111ee5b02ea8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109E-237B-4422-9924-BAEDA193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46482-7FD1-4EF1-8CBD-B70904845AC0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4.xml><?xml version="1.0" encoding="utf-8"?>
<ds:datastoreItem xmlns:ds="http://schemas.openxmlformats.org/officeDocument/2006/customXml" ds:itemID="{635B2120-42C4-4DF2-B4FD-6CC723386D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844</Words>
  <Characters>4642</Characters>
  <Application>Microsoft Office Word</Application>
  <DocSecurity>0</DocSecurity>
  <PresentationFormat>Microsoft Word 11.0</PresentationFormat>
  <Lines>38</Lines>
  <Paragraphs>10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17</cp:revision>
  <cp:lastPrinted>2014-04-24T15:31:00Z</cp:lastPrinted>
  <dcterms:created xsi:type="dcterms:W3CDTF">2023-03-27T13:01:00Z</dcterms:created>
  <dcterms:modified xsi:type="dcterms:W3CDTF">2023-10-10T13:24:00Z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